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wmf" ContentType="image/x-wmf"/>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customXml/item4.xml" ContentType="application/xml"/>
  <Override PartName="/customXml/itemProps4.xml" ContentType="application/vnd.openxmlformats-officedocument.customXmlProperties+xml"/>
  <Override PartName="/customXml/item3.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jc w:val="center"/>
        <w:rPr>
          <w:rFonts w:ascii="Arial" w:hAnsi="Arial" w:cs="Arial"/>
          <w:b/>
          <w:b/>
          <w:bCs/>
          <w:iCs/>
          <w:color w:val="000000"/>
          <w:sz w:val="20"/>
          <w:szCs w:val="20"/>
          <w:lang w:val="pt-BR"/>
        </w:rPr>
      </w:pPr>
      <w:r>
        <w:rPr>
          <w:rFonts w:cs="Arial" w:ascii="Arial" w:hAnsi="Arial"/>
          <w:b/>
          <w:bCs/>
          <w:iCs/>
          <w:color w:val="000000"/>
          <w:sz w:val="20"/>
          <w:szCs w:val="20"/>
          <w:lang w:val="pt-BR"/>
        </w:rPr>
        <w:t xml:space="preserve">ANEXO III </w:t>
      </w:r>
    </w:p>
    <w:p>
      <w:pPr>
        <w:pStyle w:val="Normal"/>
        <w:spacing w:before="0" w:after="0"/>
        <w:jc w:val="center"/>
        <w:rPr>
          <w:rFonts w:ascii="Times New Roman" w:hAnsi="Times New Roman" w:eastAsia="Times New Roman"/>
          <w:b/>
          <w:b/>
          <w:color w:val="000000"/>
          <w:sz w:val="20"/>
          <w:szCs w:val="24"/>
          <w:u w:val="single"/>
          <w:lang w:val="pt"/>
        </w:rPr>
      </w:pPr>
      <w:r>
        <w:rPr>
          <w:rFonts w:eastAsia="Times New Roman" w:ascii="Times New Roman" w:hAnsi="Times New Roman"/>
          <w:b/>
          <w:color w:val="000000"/>
          <w:sz w:val="20"/>
          <w:szCs w:val="24"/>
          <w:u w:val="single"/>
          <w:lang w:val="pt"/>
        </w:rPr>
      </w:r>
    </w:p>
    <w:p>
      <w:pPr>
        <w:pStyle w:val="Normal"/>
        <w:tabs>
          <w:tab w:val="left" w:pos="2552" w:leader="none"/>
        </w:tabs>
        <w:spacing w:before="0" w:after="0"/>
        <w:jc w:val="center"/>
        <w:rPr>
          <w:rFonts w:ascii="Calibri" w:hAnsi="Calibri" w:eastAsia="Calibri"/>
          <w:color w:val="00000A"/>
          <w:sz w:val="22"/>
          <w:szCs w:val="24"/>
          <w:lang w:val="pt"/>
        </w:rPr>
      </w:pPr>
      <w:r>
        <w:rPr/>
        <w:drawing>
          <wp:inline distT="0" distB="0" distL="0" distR="0">
            <wp:extent cx="647700" cy="65722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647700" cy="657225"/>
                    </a:xfrm>
                    <a:prstGeom prst="rect">
                      <a:avLst/>
                    </a:prstGeom>
                  </pic:spPr>
                </pic:pic>
              </a:graphicData>
            </a:graphic>
          </wp:inline>
        </w:drawing>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MINISTÉRIO DA DEFESA</w:t>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EXÉRCITO  BRASILEIRO</w:t>
      </w:r>
    </w:p>
    <w:p>
      <w:pPr>
        <w:pStyle w:val="Normal"/>
        <w:spacing w:before="0" w:after="0"/>
        <w:jc w:val="center"/>
        <w:rPr>
          <w:rFonts w:ascii="Times New Roman" w:hAnsi="Times New Roman" w:eastAsia="Times New Roman"/>
          <w:b/>
          <w:b/>
          <w:color w:val="000000"/>
          <w:sz w:val="20"/>
          <w:szCs w:val="24"/>
          <w:lang w:val="pt"/>
        </w:rPr>
      </w:pPr>
      <w:r>
        <w:rPr>
          <w:rFonts w:eastAsia="Times New Roman" w:ascii="Times New Roman" w:hAnsi="Times New Roman"/>
          <w:b/>
          <w:color w:val="000000"/>
          <w:sz w:val="20"/>
          <w:szCs w:val="24"/>
          <w:lang w:val="pt"/>
        </w:rPr>
        <w:t>4º BATALHÃO DE ENGENHARIA DE CONSTRUÇÃO</w:t>
      </w:r>
    </w:p>
    <w:p>
      <w:pPr>
        <w:pStyle w:val="Normal"/>
        <w:spacing w:before="0" w:after="0"/>
        <w:jc w:val="center"/>
        <w:rPr>
          <w:rFonts w:ascii="Times New Roman" w:hAnsi="Times New Roman" w:eastAsia="Times New Roman"/>
          <w:color w:val="000000"/>
          <w:sz w:val="20"/>
          <w:szCs w:val="24"/>
          <w:lang w:val="pt"/>
        </w:rPr>
      </w:pPr>
      <w:r>
        <w:rPr>
          <w:rFonts w:eastAsia="Times New Roman" w:ascii="Times New Roman" w:hAnsi="Times New Roman"/>
          <w:b/>
          <w:i/>
          <w:color w:val="000000"/>
          <w:sz w:val="20"/>
          <w:szCs w:val="24"/>
          <w:lang w:val="pt"/>
        </w:rPr>
        <w:t xml:space="preserve"> </w:t>
      </w:r>
      <w:r>
        <w:rPr>
          <w:rFonts w:eastAsia="Times New Roman" w:ascii="Times New Roman" w:hAnsi="Times New Roman"/>
          <w:color w:val="000000"/>
          <w:sz w:val="20"/>
          <w:szCs w:val="24"/>
          <w:lang w:val="pt"/>
        </w:rPr>
        <w:t>ROD BR 020/242 - KM 03 - BAIRRO MORADA NOBRE – BARREIRAS(BA) – CEP 47.810-902</w:t>
      </w:r>
    </w:p>
    <w:p>
      <w:pPr>
        <w:pStyle w:val="Normal"/>
        <w:spacing w:before="0" w:after="0"/>
        <w:jc w:val="center"/>
        <w:rPr/>
      </w:pPr>
      <w:r>
        <w:rPr>
          <w:rFonts w:eastAsia="Times New Roman" w:ascii="Times New Roman" w:hAnsi="Times New Roman"/>
          <w:color w:val="000000"/>
          <w:sz w:val="20"/>
          <w:szCs w:val="24"/>
          <w:highlight w:val="white"/>
          <w:u w:val="single"/>
          <w:lang w:val="pt"/>
        </w:rPr>
        <w:t>FONE (77) 3611-9244 – FAX (77) 3611-9233- E-mail: 4bec.webmail.eb.mil.br</w:t>
      </w:r>
    </w:p>
    <w:p>
      <w:pPr>
        <w:pStyle w:val="Normal"/>
        <w:spacing w:before="0" w:after="0"/>
        <w:jc w:val="center"/>
        <w:rPr>
          <w:rFonts w:ascii="Calibri" w:hAnsi="Calibri" w:eastAsia="Calibri"/>
          <w:color w:val="00000A"/>
          <w:sz w:val="22"/>
          <w:szCs w:val="24"/>
          <w:lang w:val="pt"/>
        </w:rPr>
      </w:pPr>
      <w:r>
        <w:rPr>
          <w:rFonts w:eastAsia="Calibri" w:ascii="Calibri" w:hAnsi="Calibri"/>
          <w:color w:val="00000A"/>
          <w:sz w:val="22"/>
          <w:szCs w:val="24"/>
          <w:lang w:val="pt"/>
        </w:rPr>
      </w:r>
    </w:p>
    <w:p>
      <w:pPr>
        <w:pStyle w:val="Normal"/>
        <w:spacing w:before="0" w:after="0"/>
        <w:ind w:right="-30" w:hanging="0"/>
        <w:jc w:val="center"/>
        <w:rPr>
          <w:rFonts w:ascii="Calibri" w:hAnsi="Calibri" w:eastAsia="Calibri"/>
          <w:color w:val="00000A"/>
          <w:sz w:val="22"/>
          <w:szCs w:val="24"/>
          <w:lang w:val="pt"/>
        </w:rPr>
      </w:pPr>
      <w:r>
        <w:rPr>
          <w:rFonts w:eastAsia="Calibri" w:ascii="Calibri" w:hAnsi="Calibri"/>
          <w:color w:val="00000A"/>
          <w:sz w:val="22"/>
          <w:szCs w:val="24"/>
          <w:lang w:val="pt"/>
        </w:rPr>
      </w:r>
    </w:p>
    <w:p>
      <w:pPr>
        <w:pStyle w:val="Normal"/>
        <w:widowControl w:val="false"/>
        <w:spacing w:lineRule="auto" w:line="360"/>
        <w:ind w:right="-30" w:hanging="0"/>
        <w:jc w:val="center"/>
        <w:rPr>
          <w:rFonts w:ascii="Arial" w:hAnsi="Arial" w:cs="Arial"/>
          <w:b/>
          <w:b/>
          <w:bCs/>
          <w:sz w:val="20"/>
          <w:szCs w:val="20"/>
        </w:rPr>
      </w:pPr>
      <w:r>
        <w:rPr>
          <w:rFonts w:cs="Arial" w:ascii="Arial" w:hAnsi="Arial"/>
          <w:b/>
          <w:bCs/>
          <w:sz w:val="20"/>
          <w:szCs w:val="20"/>
        </w:rPr>
        <w:t xml:space="preserve">ATA DE REGISTRO DE PREÇOS </w:t>
      </w:r>
    </w:p>
    <w:p>
      <w:pPr>
        <w:pStyle w:val="Normal"/>
        <w:widowControl w:val="false"/>
        <w:spacing w:lineRule="auto" w:line="360"/>
        <w:ind w:right="-30" w:hanging="0"/>
        <w:jc w:val="center"/>
        <w:rPr>
          <w:rFonts w:ascii="Arial" w:hAnsi="Arial" w:cs="Arial"/>
          <w:b/>
          <w:b/>
          <w:bCs/>
          <w:sz w:val="20"/>
          <w:szCs w:val="20"/>
        </w:rPr>
      </w:pPr>
      <w:r>
        <w:rPr>
          <w:rFonts w:cs="Arial" w:ascii="Arial" w:hAnsi="Arial"/>
          <w:b/>
          <w:bCs/>
          <w:sz w:val="20"/>
          <w:szCs w:val="20"/>
        </w:rPr>
        <w:t>N.º .........</w:t>
      </w:r>
    </w:p>
    <w:p>
      <w:pPr>
        <w:pStyle w:val="Normal"/>
        <w:widowControl w:val="false"/>
        <w:spacing w:lineRule="auto" w:line="360"/>
        <w:ind w:right="-30" w:hanging="0"/>
        <w:jc w:val="both"/>
        <w:rPr>
          <w:rFonts w:ascii="Arial" w:hAnsi="Arial" w:cs="Arial"/>
          <w:b/>
          <w:b/>
          <w:bCs/>
          <w:sz w:val="20"/>
          <w:szCs w:val="20"/>
        </w:rPr>
      </w:pPr>
      <w:r>
        <w:rPr>
          <w:rFonts w:cs="Arial" w:ascii="Arial" w:hAnsi="Arial"/>
          <w:b/>
          <w:bCs/>
          <w:sz w:val="20"/>
          <w:szCs w:val="20"/>
        </w:rPr>
      </w:r>
    </w:p>
    <w:p>
      <w:pPr>
        <w:pStyle w:val="Normal"/>
        <w:spacing w:before="0" w:after="0"/>
        <w:ind w:right="-30" w:hanging="0"/>
        <w:jc w:val="center"/>
        <w:rPr>
          <w:rFonts w:ascii="Calibri" w:hAnsi="Calibri" w:eastAsia="Calibri"/>
          <w:sz w:val="22"/>
          <w:szCs w:val="24"/>
          <w:lang w:val="pt"/>
        </w:rPr>
      </w:pPr>
      <w:r>
        <w:rPr>
          <w:rFonts w:eastAsia="Calibri" w:ascii="Calibri" w:hAnsi="Calibri"/>
          <w:sz w:val="22"/>
          <w:szCs w:val="24"/>
          <w:lang w:val="pt"/>
        </w:rPr>
      </w:r>
    </w:p>
    <w:p>
      <w:pPr>
        <w:pStyle w:val="Normal"/>
        <w:widowControl w:val="false"/>
        <w:tabs>
          <w:tab w:val="center" w:pos="4779" w:leader="none"/>
          <w:tab w:val="right" w:pos="9198" w:leader="none"/>
        </w:tabs>
        <w:spacing w:lineRule="auto" w:line="276" w:before="120" w:after="120"/>
        <w:ind w:right="-28" w:firstLine="1418"/>
        <w:jc w:val="both"/>
        <w:rPr/>
      </w:pPr>
      <w:r>
        <w:rPr>
          <w:rFonts w:eastAsia="Times New Roman" w:cs="Arial" w:ascii="Arial" w:hAnsi="Arial"/>
          <w:b/>
          <w:i w:val="false"/>
          <w:iCs w:val="false"/>
          <w:sz w:val="20"/>
          <w:szCs w:val="20"/>
          <w:u w:val="none"/>
          <w:lang w:val="pt"/>
        </w:rPr>
        <w:t xml:space="preserve">4º Batalhão de Engenharia de Construção, com sede ao BR 020/242, Km 03, Bairro Morada Nobre, CEP 47.810-902, na cidade de Barreiras/Estado da Bahia, inscrito no CNPJ sob o nº 07.540.208/0001-42, neste ato representado pelo </w:t>
      </w:r>
      <w:bookmarkStart w:id="0" w:name="__DdeLink__2222_391349817"/>
      <w:r>
        <w:rPr>
          <w:rFonts w:eastAsia="Times New Roman" w:cs="Arial" w:ascii="Arial" w:hAnsi="Arial"/>
          <w:b/>
          <w:i w:val="false"/>
          <w:iCs w:val="false"/>
          <w:sz w:val="20"/>
          <w:szCs w:val="20"/>
          <w:u w:val="none"/>
          <w:lang w:val="pt"/>
        </w:rPr>
        <w:t xml:space="preserve">Ordenador de Despesas, Sr </w:t>
      </w:r>
      <w:bookmarkStart w:id="1" w:name="__DdeLink__6485_391349817"/>
      <w:r>
        <w:rPr>
          <w:rFonts w:eastAsia="Times New Roman" w:cs="Arial" w:ascii="Arial" w:hAnsi="Arial"/>
          <w:b/>
          <w:i w:val="false"/>
          <w:iCs w:val="false"/>
          <w:sz w:val="20"/>
          <w:szCs w:val="20"/>
          <w:u w:val="none"/>
          <w:lang w:val="pt"/>
        </w:rPr>
        <w:t>WARLEY LUIZ DA SILVA – Tenente Coron</w:t>
      </w:r>
      <w:bookmarkEnd w:id="0"/>
      <w:r>
        <w:rPr>
          <w:rFonts w:eastAsia="Times New Roman" w:cs="Arial" w:ascii="Arial" w:hAnsi="Arial"/>
          <w:b/>
          <w:i w:val="false"/>
          <w:iCs w:val="false"/>
          <w:sz w:val="20"/>
          <w:szCs w:val="20"/>
          <w:u w:val="none"/>
          <w:lang w:val="pt"/>
        </w:rPr>
        <w:t>el</w:t>
      </w:r>
      <w:bookmarkEnd w:id="1"/>
      <w:r>
        <w:rPr>
          <w:rFonts w:eastAsia="Times New Roman" w:cs="Arial" w:ascii="Arial" w:hAnsi="Arial"/>
          <w:b/>
          <w:i w:val="false"/>
          <w:iCs w:val="false"/>
          <w:sz w:val="20"/>
          <w:szCs w:val="20"/>
          <w:u w:val="none"/>
          <w:lang w:val="pt"/>
        </w:rPr>
        <w:t>, nomeado pela Portaria nº 730, de 23 de maio de 2024, publicada no D.O.U nº 100, seção 2, de Página 10, de 24 de maio de 2024, portador da matrícula funcional nº XXX.832.904-X</w:t>
      </w:r>
      <w:r>
        <w:rPr>
          <w:rFonts w:cs="Arial" w:ascii="Arial" w:hAnsi="Arial"/>
          <w:i w:val="false"/>
          <w:iCs w:val="false"/>
          <w:sz w:val="20"/>
          <w:szCs w:val="20"/>
          <w:u w:val="none"/>
        </w:rPr>
        <w:t xml:space="preserve">, considerando o julgamento da licitação na modalidade de pregão, na forma eletrônica, para REGISTRO DE PREÇOS nº </w:t>
      </w:r>
      <w:r>
        <w:rPr>
          <w:rFonts w:cs="Arial" w:ascii="Arial" w:hAnsi="Arial"/>
          <w:b/>
          <w:bCs/>
          <w:i w:val="false"/>
          <w:iCs w:val="false"/>
          <w:sz w:val="20"/>
          <w:szCs w:val="20"/>
          <w:u w:val="none"/>
        </w:rPr>
        <w:t>900</w:t>
      </w:r>
      <w:r>
        <w:rPr>
          <w:rFonts w:cs="Arial" w:ascii="Arial" w:hAnsi="Arial"/>
          <w:b/>
          <w:bCs/>
          <w:i w:val="false"/>
          <w:iCs w:val="false"/>
          <w:sz w:val="20"/>
          <w:szCs w:val="20"/>
          <w:u w:val="none"/>
        </w:rPr>
        <w:t>28</w:t>
      </w:r>
      <w:r>
        <w:rPr>
          <w:rFonts w:cs="Arial" w:ascii="Arial" w:hAnsi="Arial"/>
          <w:b/>
          <w:bCs/>
          <w:i w:val="false"/>
          <w:iCs w:val="false"/>
          <w:sz w:val="20"/>
          <w:szCs w:val="20"/>
          <w:u w:val="none"/>
        </w:rPr>
        <w:t>/202</w:t>
      </w:r>
      <w:r>
        <w:rPr>
          <w:rFonts w:cs="Arial" w:ascii="Arial" w:hAnsi="Arial"/>
          <w:b/>
          <w:bCs/>
          <w:i w:val="false"/>
          <w:iCs w:val="false"/>
          <w:sz w:val="20"/>
          <w:szCs w:val="20"/>
          <w:u w:val="none"/>
        </w:rPr>
        <w:t>4</w:t>
      </w:r>
      <w:r>
        <w:rPr>
          <w:rFonts w:cs="Arial" w:ascii="Arial" w:hAnsi="Arial"/>
          <w:i w:val="false"/>
          <w:iCs w:val="false"/>
          <w:sz w:val="20"/>
          <w:szCs w:val="20"/>
          <w:u w:val="none"/>
        </w:rPr>
        <w:t xml:space="preserve">, publicada n°  ** de **/**/**25, processo administrativo n.º </w:t>
      </w:r>
      <w:r>
        <w:rPr>
          <w:rFonts w:cs="Arial" w:ascii="Arial" w:hAnsi="Arial"/>
          <w:b/>
          <w:bCs/>
          <w:i w:val="false"/>
          <w:iCs w:val="false"/>
          <w:color w:val="000000"/>
          <w:sz w:val="20"/>
          <w:szCs w:val="20"/>
          <w:u w:val="none"/>
        </w:rPr>
        <w:t>64042.010773/2024-76</w:t>
      </w:r>
      <w:r>
        <w:rPr>
          <w:rFonts w:cs="Arial" w:ascii="Arial" w:hAnsi="Arial"/>
          <w:i w:val="false"/>
          <w:iCs w:val="false"/>
          <w:sz w:val="20"/>
          <w:szCs w:val="20"/>
          <w:u w:val="none"/>
        </w:rPr>
        <w:t>, RESOLVE registrar os preços da(s)  empresa(s) indicada(s) e qualificada(s) nesta ATA, de acordo com a classificação por ela(s) alcançada(s) e na(s)  quantidade(s)  cotada(s), atendendo as condições previstas no</w:t>
      </w:r>
      <w:r>
        <w:rPr>
          <w:rFonts w:cs="Arial" w:ascii="Arial" w:hAnsi="Arial"/>
          <w:i w:val="false"/>
          <w:iCs w:val="false"/>
          <w:color w:val="000000"/>
          <w:sz w:val="20"/>
          <w:szCs w:val="20"/>
          <w:u w:val="none"/>
        </w:rPr>
        <w:t xml:space="preserve"> Edital de licitação, sujeitando-se as partes às normas constantes na Lei nº 14.133, de 1º de abril de 20</w:t>
      </w:r>
      <w:r>
        <w:rPr>
          <w:rFonts w:cs="Arial" w:ascii="Arial" w:hAnsi="Arial"/>
          <w:i w:val="false"/>
          <w:iCs w:val="false"/>
          <w:sz w:val="20"/>
          <w:szCs w:val="20"/>
          <w:u w:val="none"/>
        </w:rPr>
        <w:t>21, no Decreto n.º 11.462,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a eventual </w:t>
      </w:r>
      <w:r>
        <w:rPr>
          <w:b/>
          <w:bCs/>
        </w:rPr>
        <w:t>aquisição de material de consumo de uso médico, odontológico e farmacológico,  visando atender as necessidades do 4º Batalhão de Engenharia de Construção e a 1ª Cia E Cnst/4ºBEC</w:t>
      </w:r>
      <w:r>
        <w:rPr/>
        <w:t>, especificado(s) no(s) item(ns).......... do .......... Termo de Referência, anexo</w:t>
      </w:r>
      <w:r>
        <w:rPr>
          <w:b/>
          <w:bCs/>
          <w:lang w:val="pt-BR"/>
        </w:rPr>
        <w:t xml:space="preserve"> I </w:t>
      </w:r>
      <w:r>
        <w:rPr>
          <w:b w:val="false"/>
          <w:bCs w:val="false"/>
          <w:lang w:val="pt-BR"/>
        </w:rPr>
        <w:t>do edital de Pregão n° 28/2024</w:t>
      </w:r>
      <w:r>
        <w:rPr/>
        <w:t>,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r>
        <w:rPr/>
        <w:t xml:space="preserve">O preço registrado, as especificações do objeto, as quantidades mínimas e máximas de cada item, fornecedor(es) e as demais condições ofertadas na(s) proposta(s) são as que seguem: </w:t>
      </w:r>
    </w:p>
    <w:tbl>
      <w:tblPr>
        <w:tblStyle w:val="4"/>
        <w:tblW w:w="9392" w:type="dxa"/>
        <w:jc w:val="left"/>
        <w:tblInd w:w="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0" w:type="dxa"/>
          <w:left w:w="-2" w:type="dxa"/>
          <w:bottom w:w="0" w:type="dxa"/>
          <w:right w:w="10" w:type="dxa"/>
        </w:tblCellMar>
      </w:tblPr>
      <w:tblGrid>
        <w:gridCol w:w="494"/>
        <w:gridCol w:w="1332"/>
        <w:gridCol w:w="1253"/>
        <w:gridCol w:w="1541"/>
        <w:gridCol w:w="1125"/>
        <w:gridCol w:w="1120"/>
        <w:gridCol w:w="841"/>
        <w:gridCol w:w="840"/>
        <w:gridCol w:w="845"/>
      </w:tblGrid>
      <w:tr>
        <w:trPr>
          <w:trHeight w:val="511" w:hRule="atLeast"/>
        </w:trPr>
        <w:tc>
          <w:tcPr>
            <w:tcW w:w="4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2"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r>
        <w:rPr>
          <w:lang w:eastAsia="en-US"/>
        </w:rPr>
        <w:t>A listagem do cadastro de reserva referente ao presente registro de preços consta como anexo a esta Ata.</w:t>
      </w:r>
    </w:p>
    <w:p>
      <w:pPr>
        <w:pStyle w:val="Nivel01"/>
        <w:numPr>
          <w:ilvl w:val="0"/>
          <w:numId w:val="1"/>
        </w:numPr>
        <w:ind w:left="0" w:hanging="0"/>
        <w:rPr/>
      </w:pPr>
      <w:r>
        <w:rPr/>
        <w:t>ÓRGÃO(S) GERENCIADOR E  PARTICIPANTE(S)</w:t>
      </w:r>
    </w:p>
    <w:p>
      <w:pPr>
        <w:pStyle w:val="Nivel2"/>
        <w:numPr>
          <w:ilvl w:val="1"/>
          <w:numId w:val="1"/>
        </w:numPr>
        <w:ind w:left="0" w:hanging="0"/>
        <w:rPr/>
      </w:pPr>
      <w:r>
        <w:rPr/>
        <w:t xml:space="preserve">O órgão gerenciador será o </w:t>
      </w:r>
      <w:bookmarkStart w:id="2" w:name="__DdeLink__405_1528205456"/>
      <w:bookmarkEnd w:id="2"/>
      <w:r>
        <w:rPr>
          <w:rFonts w:eastAsia="Times New Roman" w:ascii="Times New Roman" w:hAnsi="Times New Roman"/>
          <w:b/>
          <w:i/>
          <w:color w:val="000000"/>
          <w:sz w:val="20"/>
          <w:szCs w:val="24"/>
          <w:u w:val="single"/>
          <w:lang w:val="pt"/>
        </w:rPr>
        <w:t>4° BATALHÃO DE ENGENHARIA DE CONSTRUÇÃO.</w:t>
      </w:r>
    </w:p>
    <w:p>
      <w:pPr>
        <w:pStyle w:val="Nvel2Red"/>
        <w:numPr>
          <w:ilvl w:val="1"/>
          <w:numId w:val="1"/>
        </w:numPr>
        <w:rPr>
          <w:color w:val="000000"/>
          <w:highlight w:val="white"/>
        </w:rPr>
      </w:pPr>
      <w:r>
        <w:rPr>
          <w:b w:val="false"/>
          <w:bCs w:val="false"/>
          <w:i w:val="false"/>
          <w:iCs w:val="false"/>
          <w:strike w:val="false"/>
          <w:dstrike w:val="false"/>
          <w:color w:val="000000"/>
          <w:highlight w:val="white"/>
        </w:rPr>
        <w:t>Além do órgão gerenciador só poderar utilizar os itens dessa ata de registro de preços o  2º Batalhão Ferroviário UASG 160106 por está trabalhando em conjunto na  duplicação da GO 213  em Morrinhos-GO.</w:t>
      </w:r>
    </w:p>
    <w:p>
      <w:pPr>
        <w:pStyle w:val="Nivel01"/>
        <w:numPr>
          <w:ilvl w:val="0"/>
          <w:numId w:val="1"/>
        </w:numPr>
        <w:ind w:left="0" w:hanging="0"/>
        <w:rPr/>
      </w:pPr>
      <w:r>
        <w:rPr/>
        <w:t xml:space="preserve">DA ADESÃO À ATA DE REGISTRO DE PREÇOS </w:t>
      </w:r>
    </w:p>
    <w:p>
      <w:pPr>
        <w:pStyle w:val="Nvel2Red"/>
        <w:numPr>
          <w:ilvl w:val="0"/>
          <w:numId w:val="1"/>
        </w:numPr>
        <w:rPr>
          <w:strike/>
        </w:rPr>
      </w:pPr>
      <w:r>
        <w:rPr>
          <w:strike/>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strike/>
        </w:rPr>
      </w:pPr>
      <w:r>
        <w:rPr>
          <w:strike/>
        </w:rPr>
        <w:t>apresentação de justificativa da vantagem da adesão, inclusive em situações de provável desabastecimento ou descontinuidade de serviço público;</w:t>
      </w:r>
    </w:p>
    <w:p>
      <w:pPr>
        <w:pStyle w:val="Nvel3R"/>
        <w:numPr>
          <w:ilvl w:val="2"/>
          <w:numId w:val="1"/>
        </w:numPr>
        <w:ind w:left="284" w:hanging="0"/>
        <w:rPr>
          <w:strike/>
        </w:rPr>
      </w:pPr>
      <w:r>
        <w:rPr>
          <w:strike/>
        </w:rPr>
        <w:t xml:space="preserve"> </w:t>
      </w:r>
      <w:r>
        <w:rPr>
          <w:strike/>
        </w:rPr>
        <w:t>demonstração de que os valores registrados estão compatíveis com os valores praticados pelo mercado na forma do art. 23 da Lei nº 14.133, de 2021; e</w:t>
      </w:r>
    </w:p>
    <w:p>
      <w:pPr>
        <w:pStyle w:val="Nvel3R"/>
        <w:numPr>
          <w:ilvl w:val="2"/>
          <w:numId w:val="1"/>
        </w:numPr>
        <w:ind w:left="284" w:hanging="0"/>
        <w:rPr>
          <w:strike/>
        </w:rPr>
      </w:pPr>
      <w:r>
        <w:rPr>
          <w:strike/>
        </w:rPr>
        <w:t xml:space="preserve"> </w:t>
      </w:r>
      <w:r>
        <w:rPr>
          <w:strike/>
        </w:rPr>
        <w:t>consulta e aceitação prévias do órgão ou da entidade gerenciadora e do fornecedor.</w:t>
      </w:r>
    </w:p>
    <w:p>
      <w:pPr>
        <w:pStyle w:val="Nvel2Red"/>
        <w:numPr>
          <w:ilvl w:val="0"/>
          <w:numId w:val="1"/>
        </w:numPr>
        <w:rPr>
          <w:strike/>
        </w:rPr>
      </w:pPr>
      <w:r>
        <w:rPr>
          <w:strike/>
        </w:rPr>
        <w:t>A autorização do órgão ou entidade gerenciadora apenas será realizada após a aceitação da adesão pelo fornecedor.</w:t>
      </w:r>
    </w:p>
    <w:p>
      <w:pPr>
        <w:pStyle w:val="Nvel3R"/>
        <w:numPr>
          <w:ilvl w:val="2"/>
          <w:numId w:val="1"/>
        </w:numPr>
        <w:ind w:left="284" w:hanging="0"/>
        <w:rPr>
          <w:strike/>
        </w:rPr>
      </w:pPr>
      <w:r>
        <w:rPr>
          <w:strike/>
        </w:rPr>
        <w:t>O órgão ou entidade gerenciadora poderá rejeitar adesões caso elas possam acarretar prejuízo à execução de seus próprios contratos ou à sua capacidade de gerenciamento.</w:t>
      </w:r>
    </w:p>
    <w:p>
      <w:pPr>
        <w:pStyle w:val="Nvel2Red"/>
        <w:numPr>
          <w:ilvl w:val="0"/>
          <w:numId w:val="1"/>
        </w:numPr>
        <w:rPr>
          <w:strike/>
        </w:rPr>
      </w:pPr>
      <w:r>
        <w:rPr>
          <w:strike/>
        </w:rPr>
        <w:t xml:space="preserve"> </w:t>
      </w:r>
      <w:r>
        <w:rPr>
          <w:strike/>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0"/>
          <w:numId w:val="1"/>
        </w:numPr>
        <w:rPr>
          <w:strike/>
        </w:rPr>
      </w:pPr>
      <w:r>
        <w:rPr>
          <w:strike/>
        </w:rPr>
        <w:t xml:space="preserve"> </w:t>
      </w:r>
      <w:r>
        <w:rPr>
          <w:strike/>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0"/>
          <w:numId w:val="1"/>
        </w:numPr>
        <w:rPr>
          <w:strike/>
        </w:rPr>
      </w:pPr>
      <w:r>
        <w:rPr>
          <w:strike/>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FF0000"/>
        </w:rPr>
        <w:t>Dos limites para as adesões</w:t>
      </w:r>
    </w:p>
    <w:p>
      <w:pPr>
        <w:pStyle w:val="Nvel2Red"/>
        <w:numPr>
          <w:ilvl w:val="0"/>
          <w:numId w:val="1"/>
        </w:numPr>
        <w:rPr/>
      </w:pPr>
      <w:r>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0"/>
          <w:numId w:val="1"/>
        </w:numPr>
        <w:rPr/>
      </w:pPr>
      <w: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0"/>
          <w:numId w:val="1"/>
        </w:numPr>
        <w:rPr/>
      </w:pPr>
      <w:r>
        <w:rPr/>
        <w:t>Para aquisição emergencial de medicamentos e material de consumo médico-hospitalar por órgãos e en</w:t>
      </w:r>
      <w:r>
        <w:rPr>
          <w:rFonts w:eastAsia="Arial"/>
        </w:rPr>
        <w:t>ti</w:t>
      </w:r>
      <w:r>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r>
        <w:rPr/>
        <w:t>.</w:t>
      </w:r>
    </w:p>
    <w:p>
      <w:pPr>
        <w:pStyle w:val="Nvel3"/>
        <w:numPr>
          <w:ilvl w:val="0"/>
          <w:numId w:val="1"/>
        </w:numPr>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1"/>
        </w:numPr>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0"/>
          <w:numId w:val="1"/>
        </w:numPr>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0"/>
          <w:numId w:val="1"/>
        </w:numPr>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val="false"/>
          <w:iCs w:val="false"/>
          <w:color w:val="000000"/>
        </w:rPr>
        <w:t xml:space="preserve">no edital  </w:t>
      </w:r>
      <w:r>
        <w:rPr/>
        <w:t>e se obrigar nos limites dela;</w:t>
      </w:r>
    </w:p>
    <w:p>
      <w:pPr>
        <w:pStyle w:val="Nvel3"/>
        <w:numPr>
          <w:ilvl w:val="0"/>
          <w:numId w:val="1"/>
        </w:numPr>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bookmarkStart w:id="3" w:name="cadastro_reserva"/>
      <w:bookmarkEnd w:id="3"/>
      <w:r>
        <w:rPr/>
        <w:t xml:space="preserve">Mantiverem sua proposta original. </w:t>
      </w:r>
    </w:p>
    <w:p>
      <w:pPr>
        <w:pStyle w:val="Nvel3"/>
        <w:numPr>
          <w:ilvl w:val="0"/>
          <w:numId w:val="1"/>
        </w:numPr>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instrText> REF cadastro_reserva \r \h </w:instrText>
      </w:r>
      <w:r>
        <w:fldChar w:fldCharType="separate"/>
      </w:r>
      <w:r>
        <w:t>18.1.1.2</w:t>
      </w:r>
      <w:r>
        <w:fldChar w:fldCharType="end"/>
      </w:r>
      <w:r>
        <w:rPr/>
        <w:t xml:space="preserve"> somente será efetuada quando houver necessidade de contratação dos licitantes remanescentes, nas seguintes hipóteses:</w:t>
      </w:r>
    </w:p>
    <w:p>
      <w:pPr>
        <w:pStyle w:val="Nvel3"/>
        <w:numPr>
          <w:ilvl w:val="0"/>
          <w:numId w:val="1"/>
        </w:numPr>
        <w:rPr/>
      </w:pPr>
      <w:r>
        <w:rPr/>
        <w:t>Quando o licitante vencedor não assinar a ata de registro de preços, no prazo e nas condições estab</w:t>
      </w:r>
      <w:r>
        <w:rPr>
          <w:i w:val="false"/>
          <w:iCs w:val="false"/>
          <w:color w:val="000000"/>
        </w:rPr>
        <w:t>elecidos no edital; e</w:t>
      </w:r>
    </w:p>
    <w:p>
      <w:pPr>
        <w:pStyle w:val="Nvel3"/>
        <w:numPr>
          <w:ilvl w:val="0"/>
          <w:numId w:val="1"/>
        </w:numPr>
        <w:rPr/>
      </w:pPr>
      <w:r>
        <w:rPr/>
        <w:t xml:space="preserve">Quando houver o cancelamento do registro do licitante ou do registro de preços nas hipóteses previstas no item </w:t>
      </w:r>
      <w:r>
        <w:rPr/>
        <w:fldChar w:fldCharType="begin"/>
      </w:r>
      <w:r>
        <w:instrText> REF cancelamento \r \h </w:instrText>
      </w:r>
      <w:r>
        <w:fldChar w:fldCharType="separate"/>
      </w:r>
      <w:r>
        <w:t>43</w:t>
      </w:r>
      <w: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1"/>
        </w:numPr>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e observado o disposto no item </w:t>
      </w:r>
      <w:r>
        <w:rPr/>
        <w:fldChar w:fldCharType="begin"/>
      </w:r>
      <w:r>
        <w:instrText> REF habilitacao_reserva \r \h </w:instrText>
      </w:r>
      <w:r>
        <w:fldChar w:fldCharType="separate"/>
      </w:r>
      <w:r>
        <w:t>Erro: Origem da referência não encontrada</w:t>
      </w:r>
      <w: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val="false"/>
          <w:iCs w:val="false"/>
          <w:color w:val="000000"/>
        </w:rPr>
        <w:t>do edital, pod</w:t>
      </w:r>
      <w:r>
        <w:rPr>
          <w:color w:val="000000"/>
        </w:rPr>
        <w:t>erá:</w:t>
      </w:r>
    </w:p>
    <w:p>
      <w:pPr>
        <w:pStyle w:val="Nvel3"/>
        <w:numPr>
          <w:ilvl w:val="0"/>
          <w:numId w:val="1"/>
        </w:numPr>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1"/>
        </w:numPr>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0"/>
          <w:numId w:val="1"/>
        </w:numPr>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0"/>
          <w:numId w:val="1"/>
        </w:numPr>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0"/>
          <w:numId w:val="1"/>
        </w:numPr>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0"/>
          <w:numId w:val="1"/>
        </w:numPr>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0"/>
          <w:numId w:val="1"/>
        </w:numPr>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0"/>
          <w:numId w:val="1"/>
        </w:numPr>
        <w:rPr/>
      </w:pPr>
      <w:r>
        <w:rPr/>
        <w:t>Se não obtiver êxito nas negociações, o órgão ou en</w:t>
      </w:r>
      <w:r>
        <w:rPr>
          <w:rFonts w:eastAsia="Calibri"/>
        </w:rPr>
        <w:t>tid</w:t>
      </w:r>
      <w:bookmarkStart w:id="4" w:name="reducao_preco_mercado_negociacao_frustra"/>
      <w:bookmarkEnd w:id="4"/>
      <w:r>
        <w:rPr/>
        <w:t>ade gerenciadora procederá ao cancelamento da ata de registro de preços, adotando as medidas cabíveis para obtenção de contratação mais vantajosa.</w:t>
      </w:r>
    </w:p>
    <w:p>
      <w:pPr>
        <w:pStyle w:val="Nvel3"/>
        <w:numPr>
          <w:ilvl w:val="0"/>
          <w:numId w:val="1"/>
        </w:numPr>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bookmarkStart w:id="5" w:name="hipotese_preco_mercado_maior"/>
      <w:bookmarkEnd w:id="5"/>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pPr>
        <w:pStyle w:val="Nvel3"/>
        <w:numPr>
          <w:ilvl w:val="0"/>
          <w:numId w:val="1"/>
        </w:numPr>
        <w:rPr/>
      </w:pPr>
      <w:bookmarkStart w:id="6" w:name="prova_preco_mercado_maior"/>
      <w:bookmarkEnd w:id="6"/>
      <w:r>
        <w:rPr/>
        <w:t>Neste caso, o fornecedor encaminhará, juntamente com o pedido de alteração, a documentação comprobatória ou a planilha de custos que demonstre a inviabilidade do preço registrado em relação às condições inicialmente pactuadas.</w:t>
      </w:r>
    </w:p>
    <w:p>
      <w:pPr>
        <w:pStyle w:val="Nvel3"/>
        <w:numPr>
          <w:ilvl w:val="0"/>
          <w:numId w:val="1"/>
        </w:numPr>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instrText> REF cancelamento_do_fornecedor \r \h </w:instrText>
      </w:r>
      <w:r>
        <w:fldChar w:fldCharType="separate"/>
      </w:r>
      <w:r>
        <w:t>43.1</w:t>
      </w:r>
      <w:r>
        <w:fldChar w:fldCharType="end"/>
      </w:r>
      <w:r>
        <w:rPr/>
        <w:t>, sem prejuízo das sanções previstas na Lei nº 14.133, de 2021, e na legislação aplicável.</w:t>
      </w:r>
    </w:p>
    <w:p>
      <w:pPr>
        <w:pStyle w:val="Nvel3"/>
        <w:numPr>
          <w:ilvl w:val="0"/>
          <w:numId w:val="1"/>
        </w:numPr>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0"/>
          <w:numId w:val="1"/>
        </w:numPr>
        <w:rPr/>
      </w:pPr>
      <w:r>
        <w:rPr/>
        <w:t xml:space="preserve">Se não obtiver êxito nas negociações, o órgão ou entidade gerenciadora procederá ao cancelamento da ata de registro de preços, nos termos do item </w:t>
      </w:r>
      <w:r>
        <w:rPr/>
        <w:fldChar w:fldCharType="begin"/>
      </w:r>
      <w:r>
        <w:instrText> REF cancelamento_da_ata \r \h </w:instrText>
      </w:r>
      <w:r>
        <w:fldChar w:fldCharType="separate"/>
      </w:r>
      <w:r>
        <w:t>47.4</w:t>
      </w:r>
      <w:r>
        <w:fldChar w:fldCharType="end"/>
      </w:r>
      <w:r>
        <w:rPr/>
        <w:t>, e adotará as medidas cabíveis para a obtenção da contratação mais vantajosa.</w:t>
      </w:r>
    </w:p>
    <w:p>
      <w:pPr>
        <w:pStyle w:val="Nvel3"/>
        <w:numPr>
          <w:ilvl w:val="0"/>
          <w:numId w:val="1"/>
        </w:numPr>
        <w:rPr/>
      </w:pPr>
      <w:r>
        <w:rPr/>
        <w:t xml:space="preserve">Na hipótese de comprovação da majoração do preço de mercado que inviabilize o preço registrado, conforme previsto no item </w:t>
      </w:r>
      <w:r>
        <w:rPr/>
        <w:fldChar w:fldCharType="begin"/>
      </w:r>
      <w:r>
        <w:instrText> REF hipotese_preco_mercado_maior \r \h </w:instrText>
      </w:r>
      <w:r>
        <w:fldChar w:fldCharType="separate"/>
      </w:r>
      <w:r>
        <w:t>33.1</w:t>
      </w:r>
      <w:r>
        <w:fldChar w:fldCharType="end"/>
      </w:r>
      <w:r>
        <w:rPr/>
        <w:t xml:space="preserve"> e no item </w:t>
      </w:r>
      <w:r>
        <w:rPr/>
        <w:fldChar w:fldCharType="begin"/>
      </w:r>
      <w:r>
        <w:instrText> REF prova_preco_mercado_maior \r \h </w:instrText>
      </w:r>
      <w:r>
        <w:fldChar w:fldCharType="separate"/>
      </w:r>
      <w:r>
        <w:t>34</w:t>
      </w:r>
      <w: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0"/>
          <w:numId w:val="1"/>
        </w:numPr>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r>
        <w:rPr/>
        <w:t>REMANEJAMENTO DAS QUANTIDADES REGISTRADAS NA ATA DE REGISTRO DE PREÇOS</w:t>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0"/>
          <w:numId w:val="1"/>
        </w:numPr>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0"/>
          <w:numId w:val="1"/>
        </w:numPr>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bookmarkStart w:id="7" w:name="gerenciador_estimador_é_partic_em_remane"/>
      <w:bookmarkEnd w:id="7"/>
      <w:r>
        <w:rPr/>
        <w:t>dades que pretende contratar será considerado participante para efeito do remanejamento.</w:t>
      </w:r>
    </w:p>
    <w:p>
      <w:pPr>
        <w:pStyle w:val="Nivel2"/>
        <w:numPr>
          <w:ilvl w:val="1"/>
          <w:numId w:val="1"/>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instrText> REF gerenciador_estimador_%25252525C3%252525 \r \h </w:instrText>
      </w:r>
      <w:r>
        <w:fldChar w:fldCharType="separate"/>
      </w:r>
      <w:r>
        <w:t>Erro: Origem da referência não encontrada</w:t>
      </w:r>
      <w:r>
        <w:fldChar w:fldCharType="end"/>
      </w:r>
      <w:r>
        <w:rPr/>
        <w:t>, a distribuição das quantidades para a execução descentralizada será por meio do remanejamento.</w:t>
      </w:r>
    </w:p>
    <w:p>
      <w:pPr>
        <w:pStyle w:val="Nivel01"/>
        <w:numPr>
          <w:ilvl w:val="0"/>
          <w:numId w:val="1"/>
        </w:numPr>
        <w:ind w:left="0" w:hanging="0"/>
        <w:rPr>
          <w:iCs/>
        </w:rPr>
      </w:pPr>
      <w:bookmarkStart w:id="8" w:name="cancelamento"/>
      <w:bookmarkEnd w:id="8"/>
      <w:r>
        <w:rPr/>
        <w:t>CANCELAMENTO DO REGISTRO DO LICITANTE VENCEDOR E DOS PREÇOS REGISTRADOS</w:t>
      </w:r>
    </w:p>
    <w:p>
      <w:pPr>
        <w:pStyle w:val="Nivel2"/>
        <w:numPr>
          <w:ilvl w:val="1"/>
          <w:numId w:val="1"/>
        </w:numPr>
        <w:ind w:left="0" w:hanging="0"/>
        <w:rPr/>
      </w:pPr>
      <w:bookmarkStart w:id="9" w:name="cancelamento_do_fornecedor"/>
      <w:bookmarkEnd w:id="9"/>
      <w:r>
        <w:rPr/>
        <w:t>O registro do fornecedor será cancelado pelo gerenciador, quando o fornecedor:</w:t>
      </w:r>
    </w:p>
    <w:p>
      <w:pPr>
        <w:pStyle w:val="Nvel3"/>
        <w:numPr>
          <w:ilvl w:val="0"/>
          <w:numId w:val="1"/>
        </w:numPr>
        <w:rPr/>
      </w:pPr>
      <w:r>
        <w:rPr/>
        <w:t>Descumprir as condições da ata de registro de preços, sem motivo justificado;</w:t>
      </w:r>
    </w:p>
    <w:p>
      <w:pPr>
        <w:pStyle w:val="Nvel3"/>
        <w:numPr>
          <w:ilvl w:val="0"/>
          <w:numId w:val="1"/>
        </w:numPr>
        <w:rPr/>
      </w:pPr>
      <w:r>
        <w:rPr/>
        <w:t>Não re</w:t>
      </w:r>
      <w:r>
        <w:rPr>
          <w:rFonts w:eastAsia="Arial"/>
        </w:rPr>
        <w:t>ti</w:t>
      </w:r>
      <w:r>
        <w:rPr/>
        <w:t>rar a nota de empenho, ou instrumento equivalente, no prazo estabelecido pela Administração sem justificativa razoável;</w:t>
      </w:r>
    </w:p>
    <w:p>
      <w:pPr>
        <w:pStyle w:val="Nvel3"/>
        <w:numPr>
          <w:ilvl w:val="0"/>
          <w:numId w:val="1"/>
        </w:numPr>
        <w:rPr/>
      </w:pPr>
      <w:r>
        <w:rPr/>
        <w:t>Não aceitar manter seu preço registrado, na hipótese prevista no artigo 27, § 2º, do Decreto nº 11.462, de 2023; ou</w:t>
      </w:r>
    </w:p>
    <w:p>
      <w:pPr>
        <w:pStyle w:val="Nvel3"/>
        <w:numPr>
          <w:ilvl w:val="0"/>
          <w:numId w:val="1"/>
        </w:numPr>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instrText> REF cancelamento_do_fornecedor \r \h </w:instrText>
      </w:r>
      <w:r>
        <w:fldChar w:fldCharType="separate"/>
      </w:r>
      <w:r>
        <w:t>43.1</w:t>
      </w:r>
      <w: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10" w:name="cancelamento_da_ata"/>
      <w:bookmarkEnd w:id="10"/>
      <w:r>
        <w:rPr/>
        <w:t xml:space="preserve"> </w:t>
      </w:r>
    </w:p>
    <w:p>
      <w:pPr>
        <w:pStyle w:val="Nvel3"/>
        <w:numPr>
          <w:ilvl w:val="0"/>
          <w:numId w:val="1"/>
        </w:numPr>
        <w:rPr/>
      </w:pPr>
      <w:r>
        <w:rPr/>
        <w:t>Por razão de interesse público;</w:t>
      </w:r>
    </w:p>
    <w:p>
      <w:pPr>
        <w:pStyle w:val="Nvel3"/>
        <w:numPr>
          <w:ilvl w:val="0"/>
          <w:numId w:val="1"/>
        </w:numPr>
        <w:rPr/>
      </w:pPr>
      <w:r>
        <w:rPr/>
        <w:t>A pedido do fornecedor, decorrente de caso fortuito ou força maior; ou</w:t>
      </w:r>
    </w:p>
    <w:p>
      <w:pPr>
        <w:pStyle w:val="Nvel3"/>
        <w:numPr>
          <w:ilvl w:val="0"/>
          <w:numId w:val="1"/>
        </w:numPr>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pPr>
      <w:r>
        <w:rPr/>
        <w:t xml:space="preserve">O descumprimento da Ata de Registro de Preços ensejará aplicação das penalidades estabelecidas </w:t>
      </w:r>
      <w:r>
        <w:rPr>
          <w:b/>
          <w:bCs/>
          <w:i/>
          <w:color w:val="000000" w:themeColor="text1"/>
          <w14:textFill>
            <w14:solidFill>
              <w14:schemeClr w14:val="tx1"/>
            </w14:solidFill>
          </w14:textFill>
        </w:rPr>
        <w:t xml:space="preserve">no edital </w:t>
      </w:r>
      <w:r>
        <w:rPr>
          <w:b/>
          <w:bCs/>
          <w:i/>
          <w:color w:val="000000" w:themeColor="text1"/>
          <w:lang w:val="pt-BR"/>
          <w14:textFill>
            <w14:solidFill>
              <w14:schemeClr w14:val="tx1"/>
            </w14:solidFill>
          </w14:textFill>
        </w:rPr>
        <w:t>.</w:t>
      </w:r>
    </w:p>
    <w:p>
      <w:pPr>
        <w:pStyle w:val="Nvel3"/>
        <w:numPr>
          <w:ilvl w:val="0"/>
          <w:numId w:val="1"/>
        </w:numPr>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000000" w:themeColor="text1"/>
          <w14:textFill>
            <w14:solidFill>
              <w14:schemeClr w14:val="tx1"/>
            </w14:solidFill>
          </w14:textFill>
        </w:rPr>
        <w:t>AO EDITAL</w:t>
      </w:r>
      <w:r>
        <w:rPr>
          <w:i/>
          <w:color w:val="FF0000"/>
        </w:rPr>
        <w:t>.</w:t>
      </w:r>
    </w:p>
    <w:p>
      <w:pPr>
        <w:pStyle w:val="Nvel2Red"/>
        <w:numPr>
          <w:ilvl w:val="0"/>
          <w:numId w:val="1"/>
        </w:numPr>
        <w:rPr>
          <w:strike w:val="false"/>
          <w:dstrike w:val="false"/>
        </w:rPr>
      </w:pPr>
      <w:r>
        <w:rPr>
          <w:strike w:val="false"/>
          <w:dstrike w:val="false"/>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b/>
          <w:bCs/>
          <w:color w:val="000000" w:themeColor="text1"/>
          <w:sz w:val="20"/>
          <w:szCs w:val="20"/>
          <w:lang w:val="pt-BR"/>
          <w14:textFill>
            <w14:solidFill>
              <w14:schemeClr w14:val="tx1"/>
            </w14:solidFill>
          </w14:textFill>
        </w:rPr>
        <w:t>02</w:t>
      </w:r>
      <w:r>
        <w:rPr>
          <w:rFonts w:cs="Arial" w:ascii="Arial" w:hAnsi="Arial"/>
          <w:b/>
          <w:bCs/>
          <w:color w:val="000000" w:themeColor="text1"/>
          <w:sz w:val="20"/>
          <w:szCs w:val="20"/>
          <w14:textFill>
            <w14:solidFill>
              <w14:schemeClr w14:val="tx1"/>
            </w14:solidFill>
          </w14:textFill>
        </w:rPr>
        <w:t xml:space="preserve"> (</w:t>
      </w:r>
      <w:r>
        <w:rPr>
          <w:rFonts w:cs="Arial" w:ascii="Arial" w:hAnsi="Arial"/>
          <w:b/>
          <w:bCs/>
          <w:color w:val="000000" w:themeColor="text1"/>
          <w:sz w:val="20"/>
          <w:szCs w:val="20"/>
          <w:lang w:val="pt-BR"/>
          <w14:textFill>
            <w14:solidFill>
              <w14:schemeClr w14:val="tx1"/>
            </w14:solidFill>
          </w14:textFill>
        </w:rPr>
        <w:t>duas</w:t>
      </w:r>
      <w:r>
        <w:rPr>
          <w:rFonts w:cs="Arial" w:ascii="Arial" w:hAnsi="Arial"/>
          <w:b/>
          <w:bCs/>
          <w:color w:val="000000" w:themeColor="text1"/>
          <w:sz w:val="20"/>
          <w:szCs w:val="20"/>
          <w14:textFill>
            <w14:solidFill>
              <w14:schemeClr w14:val="tx1"/>
            </w14:solidFill>
          </w14:textFill>
        </w:rPr>
        <w:t>) vias</w:t>
      </w:r>
      <w:r>
        <w:rPr>
          <w:rFonts w:cs="Arial" w:ascii="Arial" w:hAnsi="Arial"/>
          <w:sz w:val="20"/>
          <w:szCs w:val="20"/>
        </w:rPr>
        <w:t xml:space="preserve">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i/>
          <w:iCs/>
          <w:color w:val="FF0000"/>
          <w:sz w:val="20"/>
          <w:szCs w:val="20"/>
        </w:rPr>
      </w:r>
    </w:p>
    <w:p>
      <w:pPr>
        <w:pStyle w:val="Normal"/>
        <w:spacing w:before="0" w:after="119"/>
        <w:ind w:right="-30" w:hanging="0"/>
        <w:jc w:val="center"/>
        <w:rPr>
          <w:rFonts w:ascii="Arial" w:hAnsi="Arial" w:eastAsia="Times New Roman" w:cs="Arial"/>
          <w:color w:val="000000"/>
          <w:sz w:val="20"/>
          <w:szCs w:val="20"/>
          <w:lang w:val="pt"/>
        </w:rPr>
      </w:pPr>
      <w:r>
        <w:rPr>
          <w:rFonts w:eastAsia="Times New Roman" w:cs="Arial" w:ascii="Arial" w:hAnsi="Arial"/>
          <w:color w:val="000000"/>
          <w:sz w:val="20"/>
          <w:szCs w:val="20"/>
          <w:lang w:val="pt"/>
        </w:rPr>
        <w:t>Barreiras-BA, ….....de.........................de 20......…</w:t>
      </w:r>
    </w:p>
    <w:p>
      <w:pPr>
        <w:pStyle w:val="Normal"/>
        <w:spacing w:before="0" w:after="119"/>
        <w:ind w:right="-30" w:hanging="0"/>
        <w:jc w:val="center"/>
        <w:rPr>
          <w:rFonts w:ascii="Arial" w:hAnsi="Arial" w:eastAsia="Calibri" w:cs="Arial"/>
          <w:color w:val="00000A"/>
          <w:sz w:val="20"/>
          <w:szCs w:val="20"/>
          <w:lang w:val="pt"/>
        </w:rPr>
      </w:pPr>
      <w:r>
        <w:rPr>
          <w:rFonts w:eastAsia="Calibri" w:cs="Arial" w:ascii="Arial" w:hAnsi="Arial"/>
          <w:color w:val="00000A"/>
          <w:sz w:val="20"/>
          <w:szCs w:val="20"/>
          <w:lang w:val="pt"/>
        </w:rPr>
      </w:r>
    </w:p>
    <w:p>
      <w:pPr>
        <w:pStyle w:val="Normal"/>
        <w:spacing w:before="0" w:after="119"/>
        <w:ind w:right="-30" w:hanging="0"/>
        <w:jc w:val="center"/>
        <w:rPr>
          <w:rFonts w:ascii="Arial" w:hAnsi="Arial" w:eastAsia="Calibri" w:cs="Arial"/>
          <w:color w:val="00000A"/>
          <w:sz w:val="20"/>
          <w:szCs w:val="20"/>
          <w:lang w:val="pt"/>
        </w:rPr>
      </w:pPr>
      <w:r>
        <w:rPr>
          <w:rFonts w:eastAsia="Calibri" w:cs="Arial" w:ascii="Arial" w:hAnsi="Arial"/>
          <w:color w:val="00000A"/>
          <w:sz w:val="20"/>
          <w:szCs w:val="20"/>
          <w:lang w:val="pt"/>
        </w:rPr>
      </w:r>
    </w:p>
    <w:p>
      <w:pPr>
        <w:pStyle w:val="Normal"/>
        <w:spacing w:before="0" w:after="0"/>
        <w:ind w:right="-30" w:hanging="0"/>
        <w:jc w:val="center"/>
        <w:rPr>
          <w:rFonts w:ascii="Arial" w:hAnsi="Arial" w:eastAsia="Calibri" w:cs="Arial"/>
          <w:color w:val="00000A"/>
          <w:sz w:val="20"/>
          <w:szCs w:val="20"/>
          <w:lang w:val="pt"/>
        </w:rPr>
      </w:pPr>
      <w:r>
        <w:rPr>
          <w:rFonts w:eastAsia="Calibri" w:cs="Arial" w:ascii="Arial" w:hAnsi="Arial"/>
          <w:color w:val="00000A"/>
          <w:sz w:val="20"/>
          <w:szCs w:val="20"/>
          <w:lang w:val="pt"/>
        </w:rPr>
      </w:r>
    </w:p>
    <w:p>
      <w:pPr>
        <w:pStyle w:val="Normal"/>
        <w:widowControl w:val="false"/>
        <w:tabs>
          <w:tab w:val="center" w:pos="4779" w:leader="none"/>
          <w:tab w:val="right" w:pos="9198" w:leader="none"/>
        </w:tabs>
        <w:spacing w:lineRule="auto" w:line="276" w:before="120" w:after="120"/>
        <w:ind w:right="-28" w:hanging="0"/>
        <w:jc w:val="center"/>
        <w:rPr/>
      </w:pPr>
      <w:r>
        <w:rPr>
          <w:rFonts w:eastAsia="Times New Roman" w:cs="Arial" w:ascii="Arial" w:hAnsi="Arial"/>
          <w:b/>
          <w:i w:val="false"/>
          <w:iCs w:val="false"/>
          <w:color w:val="00000A"/>
          <w:sz w:val="20"/>
          <w:szCs w:val="20"/>
          <w:u w:val="none"/>
          <w:lang w:val="pt"/>
        </w:rPr>
        <w:t>WARLEY LUIZ DA SILVA – Tenente Coronel</w:t>
      </w:r>
    </w:p>
    <w:p>
      <w:pPr>
        <w:pStyle w:val="Normal"/>
        <w:tabs>
          <w:tab w:val="center" w:pos="4779" w:leader="none"/>
          <w:tab w:val="right" w:pos="9198" w:leader="none"/>
        </w:tabs>
        <w:spacing w:before="0" w:after="0"/>
        <w:ind w:right="-28" w:hanging="0"/>
        <w:jc w:val="center"/>
        <w:rPr>
          <w:rFonts w:ascii="Arial" w:hAnsi="Arial" w:eastAsia="Times New Roman" w:cs="Arial"/>
          <w:b/>
          <w:b/>
          <w:color w:val="00000A"/>
          <w:sz w:val="20"/>
          <w:szCs w:val="20"/>
          <w:highlight w:val="white"/>
          <w:lang w:val="pt"/>
        </w:rPr>
      </w:pPr>
      <w:r>
        <w:rPr>
          <w:rFonts w:eastAsia="Times New Roman" w:cs="Arial" w:ascii="Arial" w:hAnsi="Arial"/>
          <w:b/>
          <w:color w:val="00000A"/>
          <w:sz w:val="20"/>
          <w:szCs w:val="20"/>
          <w:highlight w:val="white"/>
          <w:lang w:val="pt"/>
        </w:rPr>
        <w:t>Ordenador de Despesas do 4° BEC</w:t>
      </w:r>
    </w:p>
    <w:p>
      <w:pPr>
        <w:pStyle w:val="Normal"/>
        <w:tabs>
          <w:tab w:val="center" w:pos="4779" w:leader="none"/>
          <w:tab w:val="right" w:pos="9198" w:leader="none"/>
        </w:tabs>
        <w:spacing w:before="0" w:after="0"/>
        <w:ind w:right="-28" w:hanging="0"/>
        <w:jc w:val="center"/>
        <w:rPr>
          <w:rFonts w:ascii="Calibri" w:hAnsi="Calibri" w:eastAsia="Calibri"/>
          <w:color w:val="00000A"/>
          <w:sz w:val="22"/>
          <w:szCs w:val="24"/>
          <w:lang w:val="pt"/>
        </w:rPr>
      </w:pPr>
      <w:r>
        <w:rPr>
          <w:rFonts w:eastAsia="Calibri" w:ascii="Calibri" w:hAnsi="Calibri"/>
          <w:color w:val="00000A"/>
          <w:sz w:val="22"/>
          <w:szCs w:val="24"/>
          <w:lang w:val="pt"/>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pPr>
      <w:r>
        <w:rPr/>
      </w:r>
    </w:p>
    <w:sectPr>
      <w:footerReference w:type="default" r:id="rId3"/>
      <w:type w:val="nextPage"/>
      <w:pgSz w:w="11906" w:h="16838"/>
      <w:pgMar w:left="1701" w:right="1134" w:header="0" w:top="1418" w:footer="708"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val="false"/>
        <w:color w:val="00000A"/>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9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zh-CN" w:bidi="hi-IN"/>
      </w:rPr>
    </w:rPrDefault>
    <w:pPrDefault>
      <w:pPr/>
    </w:pPrDefault>
  </w:docDefaults>
  <w:latentStyles w:defLockedState="0" w:defUIPriority="99" w:defSemiHidden="1" w:defUnhideWhenUsed="1" w:defQFormat="0" w:count="260">
    <w:lsdException w:name="Normal" w:uiPriority="0" w:semiHidden="0" w:unhideWhenUsed="0"/>
    <w:lsdException w:name="heading 1" w:uiPriority="0" w:semiHidden="0" w:unhideWhenUsed="0"/>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semiHidden="0" w:qFormat="1"/>
    <w:lsdException w:name="header" w:uiPriority="0" w:semiHidden="0" w:qFormat="1"/>
    <w:lsdException w:name="footer" w:uiPriority="99"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semiHidden="0" w:unhideWhenUsed="0"/>
    <w:lsdException w:name="List 2" w:uiPriority="0"/>
    <w:lsdException w:name="List 3" w:uiPriority="0"/>
    <w:lsdException w:name="List 4" w:uiPriority="0" w:semiHidden="0" w:unhideWhenUsed="0"/>
    <w:lsdException w:name="List 5" w:uiPriority="0" w:semiHidden="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0" w:semiHidden="0" w:unhideWhenUsed="0"/>
    <w:lsdException w:name="Closing" w:uiPriority="0"/>
    <w:lsdException w:name="Signature" w:uiPriority="0"/>
    <w:lsdException w:name="Default Paragraph Font" w:uiPriority="1" w:qFormat="1"/>
    <w:lsdException w:name="Body Text" w:uiPriority="99" w:semiHidden="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uiPriority="0" w:semiHidden="0" w:unhideWhenUsed="0"/>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99" w:semiHidden="0" w:qFormat="1"/>
    <w:lsdException w:name="FollowedHyperlink" w:uiPriority="0"/>
    <w:lsdException w:name="Strong" w:uiPriority="0" w:semiHidden="0" w:unhideWhenUsed="0"/>
    <w:lsdException w:name="Emphasis" w:uiPriority="0" w:semiHidden="0" w:unhideWhenUsed="0"/>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99" w:qFormat="1"/>
    <w:lsdException w:name="annotation subject" w:uiPriority="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Quote" w:uiPriority="29"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bidi w:val="0"/>
      <w:jc w:val="left"/>
    </w:pPr>
    <w:rPr>
      <w:rFonts w:ascii="Ecofont_Spranq_eco_Sans" w:hAnsi="Ecofont_Spranq_eco_Sans" w:eastAsia="Times New Roman" w:cs="Tahoma"/>
      <w:color w:val="00000A"/>
      <w:sz w:val="24"/>
      <w:szCs w:val="24"/>
      <w:lang w:val="pt-BR" w:eastAsia="pt-BR" w:bidi="ar-SA"/>
    </w:rPr>
  </w:style>
  <w:style w:type="paragraph" w:styleId="Ttulo1">
    <w:name w:val="Heading 1"/>
    <w:basedOn w:val="Normal"/>
    <w:link w:val="24"/>
    <w:uiPriority w:val="0"/>
    <w:qFormat/>
    <w:pPr>
      <w:keepNext/>
      <w:keepLines/>
      <w:spacing w:before="480" w:after="0"/>
      <w:outlineLvl w:val="0"/>
    </w:pPr>
    <w:rPr>
      <w:rFonts w:ascii="Cambria" w:hAnsi="Cambria" w:eastAsia="宋体" w:cs="" w:asciiTheme="majorHAnsi" w:cstheme="majorBidi" w:eastAsiaTheme="majorEastAsia" w:hAnsiTheme="majorHAnsi"/>
      <w:b/>
      <w:bCs/>
      <w:color w:val="376092" w:themeColor="accent1" w:themeShade="bf"/>
      <w:sz w:val="28"/>
      <w:szCs w:val="28"/>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0"/>
    <w:semiHidden/>
    <w:unhideWhenUsed/>
    <w:qFormat/>
    <w:rPr>
      <w:sz w:val="16"/>
      <w:szCs w:val="16"/>
    </w:rPr>
  </w:style>
  <w:style w:type="character" w:styleId="LinkdaInternet">
    <w:name w:val="Link da Internet"/>
    <w:uiPriority w:val="99"/>
    <w:unhideWhenUsed/>
    <w:qFormat/>
    <w:rPr>
      <w:color w:val="0000FF"/>
      <w:u w:val="single"/>
    </w:rPr>
  </w:style>
  <w:style w:type="character" w:styleId="GradeColoridanfase1Char" w:customStyle="1">
    <w:name w:val="Grade Colorida - Ênfase 1 Char"/>
    <w:link w:val="13"/>
    <w:uiPriority w:val="0"/>
    <w:qFormat/>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6"/>
    <w:uiPriority w:val="99"/>
    <w:qFormat/>
    <w:rPr>
      <w:sz w:val="24"/>
      <w:szCs w:val="24"/>
    </w:rPr>
  </w:style>
  <w:style w:type="character" w:styleId="CabealhoChar" w:customStyle="1">
    <w:name w:val="Cabeçalho Char"/>
    <w:basedOn w:val="DefaultParagraphFont"/>
    <w:link w:val="11"/>
    <w:uiPriority w:val="0"/>
    <w:qFormat/>
    <w:rPr>
      <w:rFonts w:ascii="Ecofont_Spranq_eco_Sans" w:hAnsi="Ecofont_Spranq_eco_Sans" w:cs="Tahoma"/>
      <w:sz w:val="24"/>
      <w:szCs w:val="24"/>
    </w:rPr>
  </w:style>
  <w:style w:type="character" w:styleId="RodapChar" w:customStyle="1">
    <w:name w:val="Rodapé Char"/>
    <w:basedOn w:val="DefaultParagraphFont"/>
    <w:link w:val="10"/>
    <w:uiPriority w:val="99"/>
    <w:qFormat/>
    <w:rPr>
      <w:rFonts w:ascii="Ecofont_Spranq_eco_Sans" w:hAnsi="Ecofont_Spranq_eco_Sans" w:cs="Tahoma"/>
      <w:sz w:val="24"/>
      <w:szCs w:val="24"/>
    </w:rPr>
  </w:style>
  <w:style w:type="character" w:styleId="Citao2Char" w:customStyle="1">
    <w:name w:val="citação 2 Char"/>
    <w:link w:val="19"/>
    <w:uiPriority w:val="0"/>
    <w:qFormat/>
    <w:rPr>
      <w:rFonts w:ascii="Ecofont_Spranq_eco_Sans" w:hAnsi="Ecofont_Spranq_eco_Sans" w:eastAsia="Calibri" w:cs="Tahoma"/>
      <w:color w:val="000000"/>
      <w:sz w:val="24"/>
      <w:szCs w:val="24"/>
      <w:shd w:fill="FFFFCC" w:val="clear"/>
      <w:lang w:eastAsia="en-US"/>
    </w:rPr>
  </w:style>
  <w:style w:type="character" w:styleId="CitaoChar" w:customStyle="1">
    <w:name w:val="Citação Char"/>
    <w:basedOn w:val="DefaultParagraphFont"/>
    <w:link w:val="20"/>
    <w:uiPriority w:val="29"/>
    <w:qFormat/>
    <w:rPr>
      <w:rFonts w:ascii="Ecofont_Spranq_eco_Sans" w:hAnsi="Ecofont_Spranq_eco_Sans" w:cs="Tahoma"/>
      <w:i/>
      <w:iCs/>
      <w:color w:val="000000" w:themeColor="text1"/>
      <w:sz w:val="24"/>
      <w:szCs w:val="24"/>
      <w14:textFill>
        <w14:solidFill>
          <w14:schemeClr w14:val="tx1"/>
        </w14:solidFill>
      </w14:textFill>
    </w:rPr>
  </w:style>
  <w:style w:type="character" w:styleId="Ttulo1Char" w:customStyle="1">
    <w:name w:val="Título 1 Char"/>
    <w:basedOn w:val="DefaultParagraphFont"/>
    <w:link w:val="2"/>
    <w:uiPriority w:val="0"/>
    <w:qFormat/>
    <w:rPr>
      <w:rFonts w:ascii="Cambria" w:hAnsi="Cambria" w:eastAsia="宋体" w:cs="" w:asciiTheme="majorHAnsi" w:cstheme="majorBidi" w:eastAsiaTheme="majorEastAsia" w:hAnsiTheme="majorHAnsi"/>
      <w:b/>
      <w:bCs/>
      <w:color w:val="376092" w:themeColor="accent1" w:themeShade="bf"/>
      <w:sz w:val="28"/>
      <w:szCs w:val="28"/>
    </w:rPr>
  </w:style>
  <w:style w:type="character" w:styleId="Nivel1Char" w:customStyle="1">
    <w:name w:val="Nivel1 Char"/>
    <w:basedOn w:val="Ttulo1Char"/>
    <w:link w:val="23"/>
    <w:uiPriority w:val="0"/>
    <w:qFormat/>
    <w:rPr>
      <w:rFonts w:ascii="Arial" w:hAnsi="Arial" w:eastAsia="宋体" w:cs="Arial" w:eastAsiaTheme="majorEastAsia"/>
      <w:color w:val="376092" w:themeColor="accent1" w:themeShade="bf"/>
      <w:sz w:val="28"/>
      <w:szCs w:val="28"/>
    </w:rPr>
  </w:style>
  <w:style w:type="character" w:styleId="TextodecomentrioChar" w:customStyle="1">
    <w:name w:val="Texto de comentário Char"/>
    <w:basedOn w:val="DefaultParagraphFont"/>
    <w:link w:val="8"/>
    <w:uiPriority w:val="0"/>
    <w:qFormat/>
    <w:rPr>
      <w:rFonts w:ascii="Ecofont_Spranq_eco_Sans" w:hAnsi="Ecofont_Spranq_eco_Sans" w:cs="Tahoma"/>
    </w:rPr>
  </w:style>
  <w:style w:type="character" w:styleId="AssuntodocomentrioChar" w:customStyle="1">
    <w:name w:val="Assunto do comentário Char"/>
    <w:basedOn w:val="TextodecomentrioChar"/>
    <w:link w:val="9"/>
    <w:uiPriority w:val="0"/>
    <w:semiHidden/>
    <w:qFormat/>
    <w:rPr>
      <w:rFonts w:ascii="Ecofont_Spranq_eco_Sans" w:hAnsi="Ecofont_Spranq_eco_Sans" w:cs="Tahoma"/>
      <w:b/>
      <w:bCs/>
    </w:rPr>
  </w:style>
  <w:style w:type="character" w:styleId="TextodebaloChar" w:customStyle="1">
    <w:name w:val="Texto de balão Char"/>
    <w:basedOn w:val="DefaultParagraphFont"/>
    <w:link w:val="5"/>
    <w:uiPriority w:val="0"/>
    <w:semiHidden/>
    <w:qFormat/>
    <w:rPr>
      <w:rFonts w:ascii="Segoe UI" w:hAnsi="Segoe UI" w:cs="Segoe UI"/>
      <w:sz w:val="18"/>
      <w:szCs w:val="18"/>
    </w:rPr>
  </w:style>
  <w:style w:type="character" w:styleId="Nivel01Char" w:customStyle="1">
    <w:name w:val="Nivel 01 Char"/>
    <w:basedOn w:val="DefaultParagraphFont"/>
    <w:link w:val="26"/>
    <w:uiPriority w:val="0"/>
    <w:qFormat/>
    <w:rPr>
      <w:rFonts w:ascii="Arial" w:hAnsi="Arial" w:eastAsia="宋体" w:cs="Arial" w:eastAsiaTheme="majorEastAsia"/>
      <w:b/>
      <w:bCs/>
      <w:lang w:eastAsia="en-US"/>
    </w:rPr>
  </w:style>
  <w:style w:type="character" w:styleId="Nivel2Char" w:customStyle="1">
    <w:name w:val="Nivel 2 Char"/>
    <w:basedOn w:val="DefaultParagraphFont"/>
    <w:link w:val="32"/>
    <w:uiPriority w:val="0"/>
    <w:qFormat/>
    <w:locked/>
    <w:rPr>
      <w:rFonts w:ascii="Arial" w:hAnsi="Arial" w:cs="Arial"/>
    </w:rPr>
  </w:style>
  <w:style w:type="character" w:styleId="Nvel2RedChar" w:customStyle="1">
    <w:name w:val="Nível 2 -Red Char"/>
    <w:basedOn w:val="Nivel2Char"/>
    <w:link w:val="34"/>
    <w:uiPriority w:val="0"/>
    <w:qFormat/>
    <w:rPr>
      <w:rFonts w:ascii="Arial" w:hAnsi="Arial" w:cs="Arial"/>
      <w:i/>
      <w:iCs/>
      <w:color w:val="FF0000"/>
    </w:rPr>
  </w:style>
  <w:style w:type="character" w:styleId="OuChar" w:customStyle="1">
    <w:name w:val="ou Char"/>
    <w:basedOn w:val="DefaultParagraphFont"/>
    <w:link w:val="36"/>
    <w:uiPriority w:val="0"/>
    <w:qFormat/>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38"/>
    <w:uiPriority w:val="0"/>
    <w:qFormat/>
    <w:rPr>
      <w:rFonts w:ascii="Arial" w:hAnsi="Arial" w:eastAsia="宋体" w:cs="Arial" w:eastAsiaTheme="minorEastAsia"/>
      <w:i/>
      <w:iCs/>
      <w:color w:val="FF0000"/>
    </w:rPr>
  </w:style>
  <w:style w:type="character" w:styleId="Nvel3Char" w:customStyle="1">
    <w:name w:val="Nível 3 Char"/>
    <w:basedOn w:val="Nvel3RChar"/>
    <w:link w:val="40"/>
    <w:uiPriority w:val="0"/>
    <w:qFormat/>
    <w:rPr>
      <w:rFonts w:ascii="Arial" w:hAnsi="Arial" w:eastAsia="宋体" w:cs="Arial" w:eastAsiaTheme="minorEastAsia"/>
      <w:i w:val="false"/>
      <w:iCs w:val="false"/>
      <w:color w:val="FF0000"/>
    </w:rPr>
  </w:style>
  <w:style w:type="character" w:styleId="Nvel4Char" w:customStyle="1">
    <w:name w:val="Nível 4 Char"/>
    <w:basedOn w:val="Nvel3Char"/>
    <w:link w:val="41"/>
    <w:uiPriority w:val="0"/>
    <w:qFormat/>
    <w:rPr>
      <w:rFonts w:ascii="Arial" w:hAnsi="Arial" w:eastAsia="宋体" w:cs="Arial" w:eastAsiaTheme="minorEastAsia"/>
      <w:color w:val="FF0000"/>
    </w:rPr>
  </w:style>
  <w:style w:type="character" w:styleId="SubTitNNChar" w:customStyle="1">
    <w:name w:val="SubTitNN Char"/>
    <w:basedOn w:val="DefaultParagraphFont"/>
    <w:link w:val="43"/>
    <w:uiPriority w:val="0"/>
    <w:qFormat/>
    <w:rPr>
      <w:rFonts w:ascii="Arial" w:hAnsi="Arial" w:cs="Arial"/>
      <w:b/>
      <w:bCs/>
      <w:iCs/>
    </w:rPr>
  </w:style>
  <w:style w:type="character" w:styleId="ListLabel1">
    <w:name w:val="ListLabel 1"/>
    <w:qFormat/>
    <w:rPr>
      <w:b/>
      <w:color w:val="00000A"/>
    </w:rPr>
  </w:style>
  <w:style w:type="character" w:styleId="ListLabel2">
    <w:name w:val="ListLabel 2"/>
    <w:qFormat/>
    <w:rPr>
      <w:sz w:val="20"/>
      <w:szCs w:val="20"/>
    </w:rPr>
  </w:style>
  <w:style w:type="character" w:styleId="ListLabel3">
    <w:name w:val="ListLabel 3"/>
    <w:qFormat/>
    <w:rPr>
      <w:b w:val="false"/>
      <w:color w:val="00000A"/>
    </w:rPr>
  </w:style>
  <w:style w:type="character" w:styleId="ListLabel4">
    <w:name w:val="ListLabel 4"/>
    <w:qFormat/>
    <w:rPr>
      <w:sz w:val="20"/>
      <w:szCs w:val="20"/>
    </w:rPr>
  </w:style>
  <w:style w:type="character" w:styleId="ListLabel5">
    <w:name w:val="ListLabel 5"/>
    <w:qFormat/>
    <w:rPr>
      <w:b w:val="false"/>
      <w:color w:val="00000A"/>
    </w:rPr>
  </w:style>
  <w:style w:type="character" w:styleId="ListLabel6">
    <w:name w:val="ListLabel 6"/>
    <w:qFormat/>
    <w:rPr>
      <w:sz w:val="20"/>
      <w:szCs w:val="20"/>
    </w:rPr>
  </w:style>
  <w:style w:type="character" w:styleId="ListLabel7">
    <w:name w:val="ListLabel 7"/>
    <w:qFormat/>
    <w:rPr>
      <w:b w:val="false"/>
      <w:color w:val="00000A"/>
    </w:rPr>
  </w:style>
  <w:style w:type="character" w:styleId="ListLabel8">
    <w:name w:val="ListLabel 8"/>
    <w:qFormat/>
    <w:rPr>
      <w:sz w:val="20"/>
      <w:szCs w:val="20"/>
    </w:rPr>
  </w:style>
  <w:style w:type="character" w:styleId="ListLabel9">
    <w:name w:val="ListLabel 9"/>
    <w:qFormat/>
    <w:rPr>
      <w:b w:val="false"/>
      <w:color w:val="00000A"/>
    </w:rPr>
  </w:style>
  <w:style w:type="character" w:styleId="ListLabel10">
    <w:name w:val="ListLabel 10"/>
    <w:qFormat/>
    <w:rPr>
      <w:sz w:val="20"/>
      <w:szCs w:val="20"/>
    </w:rPr>
  </w:style>
  <w:style w:type="paragraph" w:styleId="Ttulo">
    <w:name w:val="Título"/>
    <w:basedOn w:val="Normal"/>
    <w:next w:val="Corpodetexto"/>
    <w:qFormat/>
    <w:pPr>
      <w:keepNext/>
      <w:spacing w:before="240" w:after="120"/>
    </w:pPr>
    <w:rPr>
      <w:rFonts w:ascii="Liberation Sans" w:hAnsi="Liberation Sans" w:eastAsia="Noto Sans CJK SC Regular" w:cs="FreeSans"/>
      <w:sz w:val="28"/>
      <w:szCs w:val="28"/>
    </w:rPr>
  </w:style>
  <w:style w:type="paragraph" w:styleId="Corpodetexto">
    <w:name w:val="Body Text"/>
    <w:basedOn w:val="Normal"/>
    <w:link w:val="15"/>
    <w:uiPriority w:val="99"/>
    <w:unhideWhenUsed/>
    <w:qFormat/>
    <w:pPr>
      <w:spacing w:beforeAutospacing="1" w:afterAutospacing="1"/>
    </w:pPr>
    <w:rPr>
      <w:rFonts w:ascii="Times New Roman" w:hAnsi="Times New Roman" w:cs="Times New Roman"/>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BalloonText">
    <w:name w:val="Balloon Text"/>
    <w:basedOn w:val="Normal"/>
    <w:link w:val="29"/>
    <w:uiPriority w:val="0"/>
    <w:semiHidden/>
    <w:unhideWhenUsed/>
    <w:qFormat/>
    <w:pPr/>
    <w:rPr>
      <w:rFonts w:ascii="Segoe UI" w:hAnsi="Segoe UI" w:cs="Segoe UI"/>
      <w:sz w:val="18"/>
      <w:szCs w:val="18"/>
    </w:rPr>
  </w:style>
  <w:style w:type="paragraph" w:styleId="Annotationtext">
    <w:name w:val="annotation text"/>
    <w:basedOn w:val="Normal"/>
    <w:link w:val="27"/>
    <w:uiPriority w:val="0"/>
    <w:unhideWhenUsed/>
    <w:qFormat/>
    <w:pPr/>
    <w:rPr>
      <w:sz w:val="20"/>
      <w:szCs w:val="20"/>
    </w:rPr>
  </w:style>
  <w:style w:type="paragraph" w:styleId="Annotationsubject">
    <w:name w:val="annotation subject"/>
    <w:basedOn w:val="Annotationtext"/>
    <w:link w:val="28"/>
    <w:uiPriority w:val="0"/>
    <w:semiHidden/>
    <w:unhideWhenUsed/>
    <w:qFormat/>
    <w:pPr/>
    <w:rPr>
      <w:b/>
      <w:bCs/>
    </w:rPr>
  </w:style>
  <w:style w:type="paragraph" w:styleId="Rodap">
    <w:name w:val="Footer"/>
    <w:basedOn w:val="Normal"/>
    <w:link w:val="18"/>
    <w:uiPriority w:val="99"/>
    <w:unhideWhenUsed/>
    <w:qFormat/>
    <w:pPr>
      <w:tabs>
        <w:tab w:val="center" w:pos="4252" w:leader="none"/>
        <w:tab w:val="right" w:pos="8504" w:leader="none"/>
      </w:tabs>
    </w:pPr>
    <w:rPr/>
  </w:style>
  <w:style w:type="paragraph" w:styleId="Cabealho">
    <w:name w:val="Header"/>
    <w:basedOn w:val="Normal"/>
    <w:link w:val="17"/>
    <w:uiPriority w:val="0"/>
    <w:unhideWhenUsed/>
    <w:qFormat/>
    <w:pPr>
      <w:tabs>
        <w:tab w:val="center" w:pos="4252" w:leader="none"/>
        <w:tab w:val="right" w:pos="8504" w:leader="none"/>
      </w:tabs>
    </w:pPr>
    <w:rPr/>
  </w:style>
  <w:style w:type="paragraph" w:styleId="GradeColoridanfase11" w:customStyle="1">
    <w:name w:val="Grade Colorida - Ênfase 11"/>
    <w:basedOn w:val="Normal"/>
    <w:link w:val="14"/>
    <w:uiPriority w:val="0"/>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pPr>
      <w:spacing w:before="0" w:after="0"/>
      <w:ind w:left="720" w:hanging="0"/>
      <w:contextualSpacing/>
    </w:pPr>
    <w:rPr/>
  </w:style>
  <w:style w:type="paragraph" w:styleId="Citao2" w:customStyle="1">
    <w:name w:val="citação 2"/>
    <w:link w:val="21"/>
    <w:uiPriority w:val="0"/>
    <w:qFormat/>
    <w:pPr>
      <w:widowControl w:val="false"/>
      <w:pBdr>
        <w:top w:val="single" w:sz="4" w:space="1" w:color="1F497D"/>
        <w:left w:val="single" w:sz="4" w:space="4" w:color="1F497D"/>
        <w:bottom w:val="single" w:sz="4" w:space="1" w:color="1F497D"/>
        <w:right w:val="single" w:sz="4" w:space="4" w:color="1F497D"/>
      </w:pBdr>
      <w:shd w:val="clear" w:color="auto" w:fill="FFFFCC"/>
      <w:bidi w:val="0"/>
      <w:spacing w:before="120" w:after="0"/>
      <w:jc w:val="both"/>
    </w:pPr>
    <w:rPr>
      <w:rFonts w:ascii="Times New Roman" w:hAnsi="Times New Roman" w:eastAsia="Calibri" w:cs="Times New Roman"/>
      <w:color w:val="000000"/>
      <w:sz w:val="24"/>
      <w:szCs w:val="20"/>
      <w:lang w:val="pt-BR" w:eastAsia="en-US" w:bidi="hi-IN"/>
    </w:rPr>
  </w:style>
  <w:style w:type="paragraph" w:styleId="Quote">
    <w:name w:val="Quote"/>
    <w:basedOn w:val="Normal"/>
    <w:link w:val="22"/>
    <w:uiPriority w:val="29"/>
    <w:qFormat/>
    <w:pPr/>
    <w:rPr>
      <w:i/>
      <w:iCs/>
      <w:color w:val="000000" w:themeColor="text1"/>
      <w14:textFill>
        <w14:solidFill>
          <w14:schemeClr w14:val="tx1"/>
        </w14:solidFill>
      </w14:textFill>
    </w:rPr>
  </w:style>
  <w:style w:type="paragraph" w:styleId="Nivel1" w:customStyle="1">
    <w:name w:val="Nivel1"/>
    <w:basedOn w:val="Ttulo1"/>
    <w:link w:val="25"/>
    <w:uiPriority w:val="0"/>
    <w:qFormat/>
    <w:pPr>
      <w:widowControl w:val="false"/>
      <w:spacing w:lineRule="auto" w:line="276" w:before="480" w:after="120"/>
      <w:ind w:left="360" w:hanging="360"/>
      <w:jc w:val="both"/>
    </w:pPr>
    <w:rPr>
      <w:rFonts w:ascii="Arial" w:hAnsi="Arial" w:cs="Arial"/>
      <w:color w:val="00000A"/>
      <w:sz w:val="20"/>
      <w:szCs w:val="20"/>
    </w:rPr>
  </w:style>
  <w:style w:type="paragraph" w:styleId="Nivel01" w:customStyle="1">
    <w:name w:val="Nivel 01"/>
    <w:basedOn w:val="Ttulo1"/>
    <w:link w:val="31"/>
    <w:uiPriority w:val="0"/>
    <w:qFormat/>
    <w:pPr>
      <w:tabs>
        <w:tab w:val="left" w:pos="567" w:leader="none"/>
      </w:tabs>
      <w:spacing w:lineRule="auto" w:line="276" w:before="120" w:after="120"/>
      <w:ind w:left="0" w:hanging="0"/>
      <w:jc w:val="both"/>
    </w:pPr>
    <w:rPr>
      <w:rFonts w:ascii="Arial" w:hAnsi="Arial" w:cs="Arial"/>
      <w:color w:val="00000A"/>
      <w:sz w:val="20"/>
      <w:szCs w:val="20"/>
      <w:lang w:eastAsia="en-US"/>
    </w:rPr>
  </w:style>
  <w:style w:type="paragraph" w:styleId="Revision" w:customStyle="1">
    <w:name w:val="Revision"/>
    <w:uiPriority w:val="99"/>
    <w:semiHidden/>
    <w:qFormat/>
    <w:pPr>
      <w:widowControl/>
      <w:bidi w:val="0"/>
      <w:jc w:val="left"/>
    </w:pPr>
    <w:rPr>
      <w:rFonts w:ascii="Ecofont_Spranq_eco_Sans" w:hAnsi="Ecofont_Spranq_eco_Sans" w:eastAsia="Times New Roman" w:cs="Tahoma"/>
      <w:color w:val="00000A"/>
      <w:sz w:val="24"/>
      <w:szCs w:val="24"/>
      <w:lang w:val="pt-BR" w:eastAsia="pt-BR" w:bidi="ar-SA"/>
    </w:rPr>
  </w:style>
  <w:style w:type="paragraph" w:styleId="Nivel2" w:customStyle="1">
    <w:name w:val="Nivel 2"/>
    <w:basedOn w:val="Normal"/>
    <w:link w:val="33"/>
    <w:uiPriority w:val="0"/>
    <w:qFormat/>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35"/>
    <w:uiPriority w:val="0"/>
    <w:qFormat/>
    <w:pPr/>
    <w:rPr>
      <w:i/>
      <w:iCs/>
      <w:color w:val="FF0000"/>
    </w:rPr>
  </w:style>
  <w:style w:type="paragraph" w:styleId="Ou" w:customStyle="1">
    <w:name w:val="ou"/>
    <w:basedOn w:val="ListParagraph"/>
    <w:link w:val="37"/>
    <w:uiPriority w:val="0"/>
    <w:qFormat/>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39"/>
    <w:uiPriority w:val="0"/>
    <w:qFormat/>
    <w:pPr>
      <w:spacing w:lineRule="auto" w:line="276" w:before="120" w:after="120"/>
      <w:ind w:left="284" w:hanging="0"/>
      <w:jc w:val="both"/>
    </w:pPr>
    <w:rPr>
      <w:rFonts w:ascii="Arial" w:hAnsi="Arial" w:eastAsia="宋体" w:cs="Arial" w:eastAsiaTheme="minorEastAsia"/>
      <w:i/>
      <w:iCs/>
      <w:color w:val="FF0000"/>
      <w:sz w:val="20"/>
      <w:szCs w:val="20"/>
    </w:rPr>
  </w:style>
  <w:style w:type="paragraph" w:styleId="Nvel3" w:customStyle="1">
    <w:name w:val="Nível 3"/>
    <w:basedOn w:val="Nvel3R"/>
    <w:link w:val="42"/>
    <w:uiPriority w:val="0"/>
    <w:qFormat/>
    <w:pPr/>
    <w:rPr>
      <w:rFonts w:eastAsia="Times New Roman"/>
      <w:i w:val="false"/>
      <w:iCs w:val="false"/>
      <w:color w:val="00000A"/>
    </w:rPr>
  </w:style>
  <w:style w:type="paragraph" w:styleId="Nvel4" w:customStyle="1">
    <w:name w:val="Nível 4"/>
    <w:basedOn w:val="Nvel3"/>
    <w:link w:val="44"/>
    <w:uiPriority w:val="0"/>
    <w:qFormat/>
    <w:pPr>
      <w:ind w:left="567" w:hanging="0"/>
    </w:pPr>
    <w:rPr/>
  </w:style>
  <w:style w:type="paragraph" w:styleId="SubTitNN" w:customStyle="1">
    <w:name w:val="SubTitNN"/>
    <w:basedOn w:val="Normal"/>
    <w:link w:val="45"/>
    <w:uiPriority w:val="0"/>
    <w:qFormat/>
    <w:pPr>
      <w:spacing w:lineRule="auto" w:line="276" w:before="240" w:after="120"/>
      <w:jc w:val="both"/>
    </w:pPr>
    <w:rPr>
      <w:rFonts w:ascii="Arial" w:hAnsi="Arial" w:cs="Arial"/>
      <w:b/>
      <w:bCs/>
      <w:iCs/>
      <w:sz w:val="20"/>
      <w:szCs w:val="20"/>
    </w:rPr>
  </w:style>
  <w:style w:type="table" w:default="1" w:styleId="4">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13F30-1464-43D5-A034-C65A5C7E8894}">
  <ds:schemaRefs/>
</ds:datastoreItem>
</file>

<file path=customXml/itemProps2.xml><?xml version="1.0" encoding="utf-8"?>
<ds:datastoreItem xmlns:ds="http://schemas.openxmlformats.org/officeDocument/2006/customXml" ds:itemID="{0889E34A-84DA-419E-B215-E09D24916CCE}">
  <ds:schemaRefs/>
</ds:datastoreItem>
</file>

<file path=customXml/itemProps3.xml><?xml version="1.0" encoding="utf-8"?>
<ds:datastoreItem xmlns:ds="http://schemas.openxmlformats.org/officeDocument/2006/customXml" ds:itemID="{CAA1BF10-BA21-41FC-B966-68D460302E98}">
  <ds:schemaRefs/>
</ds:datastoreItem>
</file>

<file path=customXml/itemProps4.xml><?xml version="1.0" encoding="utf-8"?>
<ds:datastoreItem xmlns:ds="http://schemas.openxmlformats.org/officeDocument/2006/customXml" ds:itemID="{384269E5-3F4A-46A6-9868-DF427E392CE8}">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Application>LibreOffice/5.1.6.2$Linux_X86_64 LibreOffice_project/10m0$Build-2</Application>
  <Pages>8</Pages>
  <Words>3373</Words>
  <Characters>18501</Characters>
  <CharactersWithSpaces>21680</CharactersWithSpaces>
  <Paragraphs>139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2025-04-08T15:34:30Z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DocSecurity">
    <vt:i4>0</vt:i4>
  </property>
  <property fmtid="{D5CDD505-2E9C-101B-9397-08002B2CF9AE}" pid="4" name="ICV">
    <vt:lpwstr>025527385C7D43B7A6A625F786BA008F_12</vt:lpwstr>
  </property>
  <property fmtid="{D5CDD505-2E9C-101B-9397-08002B2CF9AE}" pid="5" name="KSOProductBuildVer">
    <vt:lpwstr>1033-12.2.0.13431</vt:lpwstr>
  </property>
  <property fmtid="{D5CDD505-2E9C-101B-9397-08002B2CF9AE}" pid="6" name="LinksUpToDate">
    <vt:bool>0</vt:bool>
  </property>
  <property fmtid="{D5CDD505-2E9C-101B-9397-08002B2CF9AE}" pid="7" name="ScaleCrop">
    <vt:bool>0</vt:bool>
  </property>
</Properties>
</file>